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Руководителю Оргкомитета Всероссийского финала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 xml:space="preserve">Международного чемпионата по технической стратегии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 xml:space="preserve">Metal Cup.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4-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я индустриальная революция»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Ректору Сибирского государственного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индустриального университета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Протопопову 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 xml:space="preserve">Подтверждающая форма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образец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vertAlign w:val="baseline"/>
          <w:rtl w:val="0"/>
          <w:lang w:val="ru-RU"/>
        </w:rPr>
        <w:t>НАЗВАНИЕ ОБРАЗОВАТЕЛЬНОГО УЧРЕЖДЕНИЯ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делегирует для участия во Всероссийском финале Международного чемпионата по технической стратегии  «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n-US"/>
        </w:rPr>
        <w:t xml:space="preserve">Metal Cup.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4-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я индустриальная революция» команду «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vertAlign w:val="baseline"/>
          <w:rtl w:val="0"/>
          <w:lang w:val="ru-RU"/>
        </w:rPr>
        <w:t>НАЗВАНИЕ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 xml:space="preserve">» в составе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___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человек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):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05"/>
        <w:gridCol w:w="4499"/>
        <w:gridCol w:w="2193"/>
        <w:gridCol w:w="2135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полностью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)</w:t>
            </w:r>
          </w:p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телефон</w:t>
            </w:r>
          </w:p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e-mail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80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5</w:t>
            </w:r>
          </w:p>
        </w:tc>
        <w:tc>
          <w:tcPr>
            <w:tcW w:type="dxa" w:w="44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Руководитель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образовательного учреждения</w:t>
        <w:tab/>
        <w:tab/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vertAlign w:val="baseline"/>
          <w:lang w:val="ru-RU"/>
        </w:rPr>
        <w:tab/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lang w:val="ru-RU"/>
        </w:rPr>
        <w:tab/>
        <w:tab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single" w:color="000000"/>
          <w:vertAlign w:val="baseline"/>
          <w:lang w:val="ru-RU"/>
        </w:rPr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ab/>
        <w:tab/>
        <w:tab/>
        <w:tab/>
        <w:tab/>
        <w:tab/>
        <w:tab/>
        <w:t xml:space="preserve">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подпись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)</w:t>
        <w:tab/>
        <w:tab/>
        <w:tab/>
        <w:t xml:space="preserve">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ФИО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lang w:val="ru-RU"/>
        </w:rPr>
        <w:tab/>
        <w:tab/>
        <w:tab/>
        <w:tab/>
        <w:tab/>
        <w:tab/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416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ab/>
        <w:tab/>
        <w:tab/>
        <w:tab/>
        <w:tab/>
        <w:tab/>
        <w:tab/>
        <w:t xml:space="preserve">        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